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00" w:beforeAutospacing="0" w:after="30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安徽省教育厅 安徽省人力资源和社会保障厅 安徽省财政厅关于开展</w:t>
      </w: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安徽省第十二批特级教师评选</w:t>
      </w:r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工作的通知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object>
          <v:shape id="_x0000_i1025" o:spt="201" type="#_x0000_t201" style="height:15.75pt;width:20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ontrol 1" w:shapeid="_x0000_i1025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t>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object>
          <v:shape id="_x0000_i1026" o:spt="201" type="#_x0000_t201" style="height:15.75pt;width:20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6" w:name="Control 2" w:shapeid="_x0000_i1026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t>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object>
          <v:shape id="_x0000_i1027" o:spt="201" type="#_x0000_t201" style="height:15.75pt;width:20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7" w:name="Control 3" w:shapeid="_x0000_i1027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t>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before="0" w:beforeAutospacing="0" w:after="0" w:afterAutospacing="0"/>
        <w:ind w:left="90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7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8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142875" cy="142875"/>
            <wp:effectExtent l="0" t="0" r="9525" b="9525"/>
            <wp:docPr id="6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142875" cy="142875"/>
            <wp:effectExtent l="0" t="0" r="9525" b="9525"/>
            <wp:docPr id="5" name="图片 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vanish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142875" cy="142875"/>
            <wp:effectExtent l="0" t="0" r="9525" b="9525"/>
            <wp:docPr id="3" name="图片 9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IMG_2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color w:val="auto"/>
          <w:sz w:val="24"/>
          <w:szCs w:val="24"/>
          <w:u w:val="none"/>
          <w:bdr w:val="none" w:color="auto" w:sz="0" w:space="0"/>
        </w:rPr>
        <w:drawing>
          <wp:inline distT="0" distB="0" distL="114300" distR="114300">
            <wp:extent cx="161925" cy="161925"/>
            <wp:effectExtent l="0" t="0" r="9525" b="9525"/>
            <wp:docPr id="4" name="图片 10" descr="IMG_26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dr w:val="none" w:color="auto" w:sz="0" w:space="0"/>
        </w:rPr>
        <w:t>皖教秘师〔2018〕8号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/>
      </w:pPr>
      <w:r>
        <w:rPr>
          <w:bdr w:val="none" w:color="auto" w:sz="0" w:space="0"/>
        </w:rPr>
        <w:t>各市、省直管县教育局、人力资源社会保障局、财政局，省直有关单位：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为深入贯彻落实党的十九大精神和《中共中央国务院关于全面深化新时代教师队伍建设改革的意见》，造就党和人民满意的高素质专业化创新型教师队伍，根据原国家教委、原人事部、财政部颁发的《特级教师评选规定》（教人〔1993〕38号），经省政府同意，现就安徽省第十二批特级教师评选工作有关事项通知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一、评选范围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特级教师评选范围包括在我省普通中小学、中等职业学校、幼儿园、特殊教育学校、中等师范学校和教师进修学校、教育教学研究机构以及校外教育机构工作的在职正式教师。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二、评选名额及构成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全省评选表彰特级教师260名，其中中学（含中职、教师进修学校、教育教学研究机构以及校外教育机构）130名，小学（含幼儿园、特殊教育学校）130名。省直单位及中央驻皖企事业单位的附属中小学，参加所在市、县的评审推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特级教师的推荐向中小学一线教师倾斜，向特教教师倾斜。根据《安徽省人民政府办公厅关于实施乡村教师支持计划（2015—2020年）的通知》，评选特级教师，对乡村教师实行切块单独评审。各市、省直管县根据分配名额，可按1:1.2比例向省教育厅推荐，其中，专任教师不低于80%，校园长、专职教研员不超过20%；乡村教师不少于15%；50岁以下人员不低于50%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三、评选条件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1、年龄要求。截止到2017年12月31日，离法定退休年龄不满2年（含2年）的教师申报从严控制；达到法定退休年龄的教师，不论是否办理退休手续，均不能申报。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2、其他条件见《安徽省特级教师评审标准（试行）》。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四、评选办法及程序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评选特级教师遵循“坚持标准、保证质量、好中选优、宁缺勿滥”的原则，按以下办法和程序进行：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1、推荐提名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学校组织教师认真学习特级教师评选有关文件，动员所有符合条件的教师参与公平竞争。在充分酝酿提名的基础上，由学校领导集体研究确定推荐人选。正式推荐人选名单和被推荐人的申报材料要在本校（单位）公示，公示内容包括评选条件、推荐对象基本情况等，公示时间不少于5个工作日。公示无异议后报县（市、区）教育行政部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县（市、区）教育行政部门会同人社、财政部门，按管理权限征求组织、纪检监察、计划生育、社会治安综合治理等部门的意见，通过全面、严格的考核，确定推荐上报人选，并填写《安徽省特级教师评审表》，连同个人有关材料，报送省辖市教育行政部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各市、省直管县成立“特级教师评审推荐委员会”。评审推荐委员会一般由17至21人组成（出席评审推荐会议，不少于15人），组成人员为各市、省直管县教育行政部门负责人、特级教师和中小学教育教学研究方面的专家，其中教育行政部门负责人不得超过评委会总人数的四分之一。评审推荐应在充分讨论评议的基础上，采取无记名投票方式表决，获得出席会议评委三分之二及以上的赞成票为通过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经评审通过的推荐人选由各市、省直管县教育行政部门会同人社、财政部门审核后，报经本级人民政府同意，将有关材料报送省教育厅。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2、业务考核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省教育厅通过无生上课（说课）、答辩方式对推荐人选进行业务考核，并对推荐人选定的论文（或论著）代表作组织水平鉴定。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3、评审及审批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省成立“特级教师评审委员会”，负责特级教师的评审工作。评审结果经省教育厅、省人力资源社会保障厅、省财政厅审核，确定正式候选对象，经公示无异议后，报省政府审批。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五、报送材料要求和时间安排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（一）报送材料要求。各省辖市、省直管县报送的材料有：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1．市、省直管县推荐人选报告和评审推荐工作小结；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2．《安徽省第十二批特级教师评选推荐人选情况一览表》（见附件4，须盖省辖市人民政府章）一式2份；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3．《安徽省特级教师评审表》（见附件3）一式3份；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4. 各市、省直管县汇总所有申报特级教师推荐人所选定的论文（论著）代表作，填写《学术成果送鉴明细表》（见附件5）。在报送代表作原件的同时，需提交复印件和电子稿，复印件提供发表论文期刊的封面、目录和正文（所在单位验证盖章）；电子稿提供（word或pdf格式均可），以作者姓名命名文档，以U盘方式报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各市、省直管县教育局要对所推荐教师提交的论文（论箸），包括送鉴论文（论箸）电子档（含PDF和Word格式）真实性进行审核，并出具真实性证明。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5．推荐人选的个人资料（其中涉及到证件、证书的，可提供复印件，并由所在单位验证盖章并签名）。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（二）时间安排。各省辖市于2018年4月23日至27日将人选名单及材料报送省教育厅。2018年5月，省教育厅统一组织业务考核。2018年7月，省特级教师评审委员会组织评审。2018年8月底前公示初步人选名单并报请省政府批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六、奖励办法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经省政府批准的特级教师，由省政府授予“安徽省特级教师”荣誉，颁发荣誉证书，并通过报刊、电台、电视台等新闻媒体宣传特级教师的先进事迹，推广特级教师的先进经验。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特级教师自省政府批准之日起，按规定享受特级教师津贴，退（病）休后，享受特级教师津贴的待遇不变。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t>附件：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"http://www.ahedu.gov.cn/uploads/file/20180226/20180226091918_32209.zip" \t "http://www.ahedu.gov.cn/30/view/_self" </w:instrText>
      </w:r>
      <w:r>
        <w:rPr>
          <w:bdr w:val="none" w:color="auto" w:sz="0" w:space="0"/>
        </w:rPr>
        <w:fldChar w:fldCharType="separate"/>
      </w:r>
      <w:r>
        <w:rPr>
          <w:rStyle w:val="4"/>
          <w:bdr w:val="none" w:color="auto" w:sz="0" w:space="0"/>
        </w:rPr>
        <w:t>1、安徽省特教教师评审标准</w:t>
      </w:r>
      <w:r>
        <w:rPr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"http://www.ahedu.gov.cn/uploads/file/20180226/20180226091918_32209.zip" \t "http://www.ahedu.gov.cn/30/view/_self" </w:instrText>
      </w:r>
      <w:r>
        <w:rPr>
          <w:bdr w:val="none" w:color="auto" w:sz="0" w:space="0"/>
        </w:rPr>
        <w:fldChar w:fldCharType="separate"/>
      </w:r>
      <w:r>
        <w:rPr>
          <w:rStyle w:val="4"/>
          <w:bdr w:val="none" w:color="auto" w:sz="0" w:space="0"/>
        </w:rPr>
        <w:t>    2、安徽省第十二批特教教师推荐名额分配表</w:t>
      </w:r>
      <w:r>
        <w:rPr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"http://www.ahedu.gov.cn/uploads/file/20180226/20180226091918_32209.zip" \t "http://www.ahedu.gov.cn/30/view/_self" </w:instrText>
      </w:r>
      <w:r>
        <w:rPr>
          <w:bdr w:val="none" w:color="auto" w:sz="0" w:space="0"/>
        </w:rPr>
        <w:fldChar w:fldCharType="separate"/>
      </w:r>
      <w:r>
        <w:rPr>
          <w:rStyle w:val="4"/>
          <w:bdr w:val="none" w:color="auto" w:sz="0" w:space="0"/>
        </w:rPr>
        <w:t>    3、安徽省特教教师评审表</w:t>
      </w:r>
      <w:r>
        <w:rPr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"http://www.ahedu.gov.cn/uploads/file/20180226/20180226091918_32209.zip" \t "http://www.ahedu.gov.cn/30/view/_self" </w:instrText>
      </w:r>
      <w:r>
        <w:rPr>
          <w:bdr w:val="none" w:color="auto" w:sz="0" w:space="0"/>
        </w:rPr>
        <w:fldChar w:fldCharType="separate"/>
      </w:r>
      <w:r>
        <w:rPr>
          <w:rStyle w:val="4"/>
          <w:bdr w:val="none" w:color="auto" w:sz="0" w:space="0"/>
        </w:rPr>
        <w:t>    4、安徽省第十二批特教教师评选推荐人选情况一览表</w:t>
      </w:r>
      <w:r>
        <w:rPr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left"/>
      </w:pP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"http://www.ahedu.gov.cn/uploads/file/20180226/20180226091918_32209.zip" \t "http://www.ahedu.gov.cn/30/view/_self" </w:instrText>
      </w:r>
      <w:r>
        <w:rPr>
          <w:bdr w:val="none" w:color="auto" w:sz="0" w:space="0"/>
        </w:rPr>
        <w:fldChar w:fldCharType="separate"/>
      </w:r>
      <w:r>
        <w:rPr>
          <w:rStyle w:val="4"/>
          <w:bdr w:val="none" w:color="auto" w:sz="0" w:space="0"/>
        </w:rPr>
        <w:t>    5、学术成果送鉴明细表</w:t>
      </w:r>
      <w:r>
        <w:rPr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right"/>
      </w:pPr>
      <w:r>
        <w:rPr>
          <w:bdr w:val="none" w:color="auto" w:sz="0" w:space="0"/>
        </w:rPr>
        <w:t>安徽省教育厅       安徽省人力资源和社会保障厅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right"/>
      </w:pPr>
      <w:r>
        <w:rPr>
          <w:bdr w:val="none" w:color="auto" w:sz="0" w:space="0"/>
        </w:rPr>
        <w:t>安徽省财政厅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420"/>
        <w:jc w:val="right"/>
      </w:pPr>
      <w:r>
        <w:rPr>
          <w:bdr w:val="none" w:color="auto" w:sz="0" w:space="0"/>
        </w:rPr>
        <w:t>2018年2月10日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62ECA"/>
    <w:rsid w:val="5A762E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image" Target="../NULL"/><Relationship Id="rId7" Type="http://schemas.openxmlformats.org/officeDocument/2006/relationships/control" Target="activeX/activeX3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GIF"/><Relationship Id="rId12" Type="http://schemas.openxmlformats.org/officeDocument/2006/relationships/hyperlink" Target="http://www.ahedu.gov.cn/30/view/javascript:void(0)" TargetMode="External"/><Relationship Id="rId11" Type="http://schemas.openxmlformats.org/officeDocument/2006/relationships/image" Target="media/image5.GIF"/><Relationship Id="rId10" Type="http://schemas.openxmlformats.org/officeDocument/2006/relationships/image" Target="media/image4.GIF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2018-02-26T03:07:00Z</dcterms:created>
  <dc:creator>殷成刚</dc:creator>
  <cp:lastModifiedBy>殷成刚</cp:lastModifiedBy>
  <dcterms:modified xsi:type="dcterms:W3CDTF">2018-02-26T03:09:26Z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